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302A8D">
        <w:rPr>
          <w:rFonts w:ascii="Arial" w:hAnsi="Arial" w:cs="Arial"/>
          <w:b/>
          <w:color w:val="333333"/>
        </w:rPr>
        <w:t>1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02A8D">
        <w:rPr>
          <w:rFonts w:ascii="Arial" w:hAnsi="Arial" w:cs="Arial"/>
          <w:b/>
          <w:color w:val="333333"/>
        </w:rPr>
        <w:t>EXTRAORDINÁRIA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321A8" w:rsidRDefault="006321A8" w:rsidP="00B908D7">
      <w:pPr>
        <w:jc w:val="both"/>
        <w:rPr>
          <w:b/>
          <w:sz w:val="28"/>
          <w:szCs w:val="28"/>
        </w:rPr>
      </w:pPr>
    </w:p>
    <w:p w:rsidR="00C83DFC" w:rsidRPr="00B20012" w:rsidRDefault="00B20012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01/GP/PMT/2023, </w:t>
      </w:r>
      <w:r>
        <w:rPr>
          <w:sz w:val="28"/>
          <w:szCs w:val="28"/>
        </w:rPr>
        <w:t>dispõe sobre a abertura de crédito adicionais especiais no orçamento vigente, e altera a Lei n° 902, de 20 de dezembro de 2023 – LOA de 2024”</w:t>
      </w:r>
      <w:bookmarkStart w:id="0" w:name="_GoBack"/>
      <w:bookmarkEnd w:id="0"/>
    </w:p>
    <w:sectPr w:rsidR="00C83DFC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07" w:rsidRDefault="00741B07">
      <w:r>
        <w:separator/>
      </w:r>
    </w:p>
  </w:endnote>
  <w:endnote w:type="continuationSeparator" w:id="0">
    <w:p w:rsidR="00741B07" w:rsidRDefault="0074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07" w:rsidRDefault="00741B07">
      <w:r>
        <w:separator/>
      </w:r>
    </w:p>
  </w:footnote>
  <w:footnote w:type="continuationSeparator" w:id="0">
    <w:p w:rsidR="00741B07" w:rsidRDefault="0074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BEC6-FBE0-490C-974F-671C743B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436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12</cp:revision>
  <cp:lastPrinted>2023-02-06T09:52:00Z</cp:lastPrinted>
  <dcterms:created xsi:type="dcterms:W3CDTF">2023-02-22T07:48:00Z</dcterms:created>
  <dcterms:modified xsi:type="dcterms:W3CDTF">2024-01-16T08:17:00Z</dcterms:modified>
</cp:coreProperties>
</file>